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04D61" w14:textId="77777777" w:rsidR="00921D68" w:rsidRDefault="00554711" w:rsidP="00921D68">
      <w:pPr>
        <w:jc w:val="center"/>
      </w:pPr>
      <w:bookmarkStart w:id="0" w:name="_GoBack"/>
      <w:bookmarkEnd w:id="0"/>
      <w:r>
        <w:t>OUTREACH REIMBURSEMENT POLICY</w:t>
      </w:r>
    </w:p>
    <w:p w14:paraId="23B543A7" w14:textId="77777777" w:rsidR="00554711" w:rsidRDefault="00554711" w:rsidP="00921D68">
      <w:pPr>
        <w:jc w:val="center"/>
      </w:pPr>
      <w:r>
        <w:t>EFFECTIVE SEPTEMBER 1, 2017</w:t>
      </w:r>
    </w:p>
    <w:p w14:paraId="7BF12719" w14:textId="77777777" w:rsidR="005A5C1C" w:rsidRDefault="005A5C1C" w:rsidP="005A5C1C">
      <w:pPr>
        <w:pStyle w:val="NoSpacing"/>
      </w:pPr>
      <w:r>
        <w:t>.</w:t>
      </w:r>
    </w:p>
    <w:p w14:paraId="6D75D29B" w14:textId="77777777" w:rsidR="00921D68" w:rsidRDefault="00921D68" w:rsidP="00921D68">
      <w:pPr>
        <w:pStyle w:val="NoSpacing"/>
      </w:pPr>
    </w:p>
    <w:p w14:paraId="5C1D6D22" w14:textId="77777777" w:rsidR="00921D68" w:rsidRDefault="00554711" w:rsidP="00921D68">
      <w:pPr>
        <w:pStyle w:val="NoSpacing"/>
      </w:pPr>
      <w:r>
        <w:t>POLICY</w:t>
      </w:r>
      <w:r w:rsidR="00921D68">
        <w:t>:</w:t>
      </w:r>
    </w:p>
    <w:p w14:paraId="6FF08FAF" w14:textId="77777777" w:rsidR="00921D68" w:rsidRDefault="00921D68" w:rsidP="00921D68">
      <w:pPr>
        <w:pStyle w:val="NoSpacing"/>
        <w:numPr>
          <w:ilvl w:val="0"/>
          <w:numId w:val="2"/>
        </w:numPr>
      </w:pPr>
      <w:r>
        <w:t xml:space="preserve">Enrollment: </w:t>
      </w:r>
      <w:r w:rsidR="00554711">
        <w:t>Gulf Swimming will use</w:t>
      </w:r>
      <w:r>
        <w:t xml:space="preserve"> a 3-step tier for enrollment in the splash fee reimbursement program as follows:</w:t>
      </w:r>
    </w:p>
    <w:p w14:paraId="7AC520B6" w14:textId="77777777" w:rsidR="00921D68" w:rsidRDefault="00554711" w:rsidP="00921D68">
      <w:pPr>
        <w:pStyle w:val="NoSpacing"/>
        <w:numPr>
          <w:ilvl w:val="0"/>
          <w:numId w:val="3"/>
        </w:numPr>
      </w:pPr>
      <w:r>
        <w:t>Verified enrollment in t</w:t>
      </w:r>
      <w:r w:rsidR="00921D68">
        <w:t>he Federal Food Stamp Program, SNAP or the Me</w:t>
      </w:r>
      <w:r>
        <w:t>dicaid Medical Card.</w:t>
      </w:r>
    </w:p>
    <w:p w14:paraId="7784D4EF" w14:textId="77777777" w:rsidR="00921D68" w:rsidRDefault="00921D68" w:rsidP="00921D68">
      <w:pPr>
        <w:pStyle w:val="NoSpacing"/>
        <w:ind w:left="3600"/>
      </w:pPr>
      <w:r>
        <w:t>OR</w:t>
      </w:r>
    </w:p>
    <w:p w14:paraId="3DE9C78A" w14:textId="77777777" w:rsidR="00921D68" w:rsidRDefault="00921D68" w:rsidP="00921D68">
      <w:pPr>
        <w:pStyle w:val="NoSpacing"/>
        <w:numPr>
          <w:ilvl w:val="0"/>
          <w:numId w:val="3"/>
        </w:numPr>
      </w:pPr>
      <w:r>
        <w:t>School Lunch enrollment card/letter accompanied by Pages 1&amp;2 of their Federal Income Tax Return (Form 1040, or 1040A or EZ (Social Security redacted)</w:t>
      </w:r>
      <w:r w:rsidR="00377F8E">
        <w:t xml:space="preserve"> required for proof of income and family size.</w:t>
      </w:r>
      <w:r w:rsidR="00554711">
        <w:t xml:space="preserve"> If married, filing separately, both spouses returns must be submitted.</w:t>
      </w:r>
    </w:p>
    <w:p w14:paraId="4C98D691" w14:textId="77777777" w:rsidR="00921D68" w:rsidRDefault="00921D68" w:rsidP="00921D68">
      <w:pPr>
        <w:pStyle w:val="NoSpacing"/>
        <w:ind w:left="3600"/>
      </w:pPr>
      <w:r>
        <w:t>OR</w:t>
      </w:r>
    </w:p>
    <w:p w14:paraId="1E6C65EC" w14:textId="77777777" w:rsidR="00377F8E" w:rsidRDefault="00921D68" w:rsidP="00377F8E">
      <w:pPr>
        <w:pStyle w:val="ListParagraph"/>
        <w:numPr>
          <w:ilvl w:val="0"/>
          <w:numId w:val="3"/>
        </w:numPr>
      </w:pPr>
      <w:r>
        <w:t xml:space="preserve">All others:  </w:t>
      </w:r>
      <w:r w:rsidR="00377F8E">
        <w:t xml:space="preserve">You must be a resident of the state of Texas and a parent or primary caregiver responsible for a </w:t>
      </w:r>
      <w:r w:rsidR="00554711">
        <w:t>child(</w:t>
      </w:r>
      <w:proofErr w:type="spellStart"/>
      <w:r w:rsidR="00377F8E">
        <w:t>ren</w:t>
      </w:r>
      <w:proofErr w:type="spellEnd"/>
      <w:r w:rsidR="00377F8E">
        <w:t xml:space="preserve">) who attends school (high school or under). And you must have an annual household income (before taxes) that is below the income guidelines per the current Texas amounts for household size as shown </w:t>
      </w:r>
      <w:r w:rsidR="00952910">
        <w:t xml:space="preserve">in d. </w:t>
      </w:r>
      <w:r w:rsidR="00377F8E">
        <w:t>below.  Proof of income and family size will be by submitting Pages 1 &amp; 2 of FIT Return (Social Security Number(s) redacted).</w:t>
      </w:r>
      <w:r w:rsidR="00DC598F">
        <w:t xml:space="preserve">  If married, filing separately, both spouses returns must be submitted.</w:t>
      </w:r>
    </w:p>
    <w:p w14:paraId="3F8EE221" w14:textId="77777777" w:rsidR="00F010D5" w:rsidRPr="00F010D5" w:rsidRDefault="00F010D5" w:rsidP="00F010D5">
      <w:pPr>
        <w:pStyle w:val="ListParagraph"/>
        <w:numPr>
          <w:ilvl w:val="0"/>
          <w:numId w:val="3"/>
        </w:numPr>
        <w:spacing w:after="150" w:line="600" w:lineRule="atLeast"/>
      </w:pPr>
      <w:r>
        <w:rPr>
          <w:rFonts w:ascii="Tahoma" w:hAnsi="Tahoma" w:cs="Tahoma"/>
          <w:b/>
          <w:bCs/>
          <w:color w:val="306A9A"/>
          <w:sz w:val="26"/>
          <w:szCs w:val="26"/>
        </w:rPr>
        <w:t>G</w:t>
      </w:r>
      <w:r w:rsidRPr="00F010D5">
        <w:rPr>
          <w:rFonts w:ascii="Tahoma" w:hAnsi="Tahoma" w:cs="Tahoma"/>
          <w:b/>
          <w:bCs/>
          <w:color w:val="306A9A"/>
          <w:sz w:val="26"/>
          <w:szCs w:val="26"/>
        </w:rPr>
        <w:t>eneral Program Requirements</w:t>
      </w:r>
    </w:p>
    <w:p w14:paraId="6785EC32" w14:textId="77777777" w:rsidR="00F010D5" w:rsidRDefault="00F010D5" w:rsidP="00F010D5">
      <w:pPr>
        <w:pStyle w:val="ListParagraph"/>
        <w:ind w:left="1080"/>
        <w:rPr>
          <w:rFonts w:ascii="Tahoma" w:hAnsi="Tahoma" w:cs="Tahoma"/>
          <w:color w:val="333333"/>
          <w:sz w:val="21"/>
          <w:szCs w:val="21"/>
          <w:shd w:val="clear" w:color="auto" w:fill="FFFFFF"/>
        </w:rPr>
      </w:pPr>
      <w:r w:rsidRPr="00F010D5">
        <w:rPr>
          <w:rFonts w:ascii="Tahoma" w:hAnsi="Tahoma" w:cs="Tahoma"/>
          <w:color w:val="333333"/>
          <w:sz w:val="21"/>
          <w:szCs w:val="21"/>
          <w:shd w:val="clear" w:color="auto" w:fill="FFFFFF"/>
        </w:rPr>
        <w:t>In order to qualify, you must have an annual household income (before taxes) that</w:t>
      </w:r>
      <w:r w:rsidR="008A6978">
        <w:rPr>
          <w:rFonts w:ascii="Tahoma" w:hAnsi="Tahoma" w:cs="Tahoma"/>
          <w:color w:val="333333"/>
          <w:sz w:val="21"/>
          <w:szCs w:val="21"/>
          <w:shd w:val="clear" w:color="auto" w:fill="FFFFFF"/>
        </w:rPr>
        <w:t xml:space="preserve"> is below the following amounts for the 2017-2018 School Year</w:t>
      </w:r>
    </w:p>
    <w:p w14:paraId="17C31CB3" w14:textId="77777777" w:rsidR="008A6978" w:rsidRPr="00F010D5" w:rsidRDefault="008A6978" w:rsidP="00F010D5">
      <w:pPr>
        <w:pStyle w:val="ListParagraph"/>
        <w:ind w:left="1080"/>
      </w:pPr>
    </w:p>
    <w:tbl>
      <w:tblPr>
        <w:tblW w:w="2430" w:type="dxa"/>
        <w:tblInd w:w="2070" w:type="dxa"/>
        <w:tblCellMar>
          <w:left w:w="0" w:type="dxa"/>
          <w:right w:w="0" w:type="dxa"/>
        </w:tblCellMar>
        <w:tblLook w:val="04A0" w:firstRow="1" w:lastRow="0" w:firstColumn="1" w:lastColumn="0" w:noHBand="0" w:noVBand="1"/>
      </w:tblPr>
      <w:tblGrid>
        <w:gridCol w:w="1034"/>
        <w:gridCol w:w="1396"/>
      </w:tblGrid>
      <w:tr w:rsidR="008A6978" w14:paraId="3C04BF24" w14:textId="77777777" w:rsidTr="008A6978">
        <w:trPr>
          <w:tblHeader/>
        </w:trPr>
        <w:tc>
          <w:tcPr>
            <w:tcW w:w="1020" w:type="dxa"/>
            <w:vAlign w:val="center"/>
          </w:tcPr>
          <w:p w14:paraId="3330AD09" w14:textId="77777777" w:rsidR="008A6978" w:rsidRPr="008A6978" w:rsidRDefault="008A6978" w:rsidP="008A6978">
            <w:pPr>
              <w:rPr>
                <w:rFonts w:ascii="Arial" w:hAnsi="Arial" w:cs="Arial"/>
                <w:b/>
                <w:bCs/>
                <w:color w:val="646262"/>
                <w:sz w:val="20"/>
                <w:szCs w:val="20"/>
              </w:rPr>
            </w:pPr>
            <w:r w:rsidRPr="008A6978">
              <w:rPr>
                <w:rFonts w:ascii="Arial" w:hAnsi="Arial" w:cs="Arial"/>
                <w:b/>
                <w:bCs/>
                <w:color w:val="646262"/>
                <w:sz w:val="20"/>
                <w:szCs w:val="20"/>
              </w:rPr>
              <w:t>Household Size</w:t>
            </w:r>
          </w:p>
        </w:tc>
        <w:tc>
          <w:tcPr>
            <w:tcW w:w="1410" w:type="dxa"/>
            <w:vAlign w:val="center"/>
          </w:tcPr>
          <w:p w14:paraId="6D6AF9F9" w14:textId="77777777" w:rsidR="008A6978" w:rsidRPr="008A6978" w:rsidRDefault="008A6978" w:rsidP="008A6978">
            <w:pPr>
              <w:jc w:val="center"/>
              <w:rPr>
                <w:rFonts w:ascii="Arial" w:hAnsi="Arial" w:cs="Arial"/>
                <w:b/>
                <w:bCs/>
                <w:color w:val="646262"/>
                <w:sz w:val="20"/>
                <w:szCs w:val="20"/>
              </w:rPr>
            </w:pPr>
            <w:r w:rsidRPr="008A6978">
              <w:rPr>
                <w:rFonts w:ascii="Arial" w:hAnsi="Arial" w:cs="Arial"/>
                <w:b/>
                <w:bCs/>
                <w:color w:val="646262"/>
                <w:sz w:val="20"/>
                <w:szCs w:val="20"/>
              </w:rPr>
              <w:t xml:space="preserve">Total </w:t>
            </w:r>
            <w:r>
              <w:rPr>
                <w:rFonts w:ascii="Arial" w:hAnsi="Arial" w:cs="Arial"/>
                <w:b/>
                <w:bCs/>
                <w:color w:val="646262"/>
                <w:sz w:val="20"/>
                <w:szCs w:val="20"/>
              </w:rPr>
              <w:t xml:space="preserve">Annual </w:t>
            </w:r>
            <w:r w:rsidRPr="008A6978">
              <w:rPr>
                <w:rFonts w:ascii="Arial" w:hAnsi="Arial" w:cs="Arial"/>
                <w:b/>
                <w:bCs/>
                <w:color w:val="646262"/>
                <w:sz w:val="20"/>
                <w:szCs w:val="20"/>
              </w:rPr>
              <w:t>Income</w:t>
            </w:r>
          </w:p>
        </w:tc>
      </w:tr>
      <w:tr w:rsidR="008A6978" w14:paraId="740CDE42" w14:textId="77777777" w:rsidTr="008A6978">
        <w:tc>
          <w:tcPr>
            <w:tcW w:w="1020" w:type="dxa"/>
            <w:vAlign w:val="center"/>
          </w:tcPr>
          <w:p w14:paraId="1D25A152"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1</w:t>
            </w:r>
          </w:p>
        </w:tc>
        <w:tc>
          <w:tcPr>
            <w:tcW w:w="1410" w:type="dxa"/>
            <w:vAlign w:val="center"/>
          </w:tcPr>
          <w:p w14:paraId="47AA8714"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$15,678 </w:t>
            </w:r>
          </w:p>
        </w:tc>
      </w:tr>
      <w:tr w:rsidR="008A6978" w14:paraId="71A3584F" w14:textId="77777777" w:rsidTr="008A6978">
        <w:tc>
          <w:tcPr>
            <w:tcW w:w="1020" w:type="dxa"/>
            <w:vAlign w:val="center"/>
          </w:tcPr>
          <w:p w14:paraId="2CB77B92"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2</w:t>
            </w:r>
          </w:p>
        </w:tc>
        <w:tc>
          <w:tcPr>
            <w:tcW w:w="1410" w:type="dxa"/>
            <w:vAlign w:val="center"/>
          </w:tcPr>
          <w:p w14:paraId="160C519B"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$21,112 </w:t>
            </w:r>
          </w:p>
        </w:tc>
      </w:tr>
      <w:tr w:rsidR="008A6978" w14:paraId="002292B6" w14:textId="77777777" w:rsidTr="008A6978">
        <w:tc>
          <w:tcPr>
            <w:tcW w:w="1020" w:type="dxa"/>
            <w:vAlign w:val="center"/>
          </w:tcPr>
          <w:p w14:paraId="227FC6F6"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3</w:t>
            </w:r>
          </w:p>
        </w:tc>
        <w:tc>
          <w:tcPr>
            <w:tcW w:w="1410" w:type="dxa"/>
            <w:vAlign w:val="center"/>
          </w:tcPr>
          <w:p w14:paraId="1B009360"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$26,546 </w:t>
            </w:r>
          </w:p>
        </w:tc>
      </w:tr>
      <w:tr w:rsidR="008A6978" w14:paraId="7DEB5687" w14:textId="77777777" w:rsidTr="008A6978">
        <w:tc>
          <w:tcPr>
            <w:tcW w:w="1020" w:type="dxa"/>
            <w:vAlign w:val="center"/>
          </w:tcPr>
          <w:p w14:paraId="4962F282"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4</w:t>
            </w:r>
          </w:p>
        </w:tc>
        <w:tc>
          <w:tcPr>
            <w:tcW w:w="1410" w:type="dxa"/>
            <w:vAlign w:val="center"/>
          </w:tcPr>
          <w:p w14:paraId="73FE4D60"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$31,980 </w:t>
            </w:r>
          </w:p>
        </w:tc>
      </w:tr>
      <w:tr w:rsidR="008A6978" w14:paraId="7A6BC2BF" w14:textId="77777777" w:rsidTr="008A6978">
        <w:tc>
          <w:tcPr>
            <w:tcW w:w="1020" w:type="dxa"/>
            <w:vAlign w:val="center"/>
          </w:tcPr>
          <w:p w14:paraId="48638695"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5</w:t>
            </w:r>
          </w:p>
        </w:tc>
        <w:tc>
          <w:tcPr>
            <w:tcW w:w="1410" w:type="dxa"/>
            <w:vAlign w:val="center"/>
          </w:tcPr>
          <w:p w14:paraId="2D2EE09D"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$37,414 </w:t>
            </w:r>
          </w:p>
        </w:tc>
      </w:tr>
      <w:tr w:rsidR="008A6978" w14:paraId="340DB4EB" w14:textId="77777777" w:rsidTr="008A6978">
        <w:tc>
          <w:tcPr>
            <w:tcW w:w="1020" w:type="dxa"/>
            <w:vAlign w:val="center"/>
          </w:tcPr>
          <w:p w14:paraId="131AFFD1"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6</w:t>
            </w:r>
          </w:p>
        </w:tc>
        <w:tc>
          <w:tcPr>
            <w:tcW w:w="1410" w:type="dxa"/>
            <w:vAlign w:val="center"/>
          </w:tcPr>
          <w:p w14:paraId="0DD4B418"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$42,848 </w:t>
            </w:r>
          </w:p>
        </w:tc>
      </w:tr>
      <w:tr w:rsidR="008A6978" w14:paraId="6D167959" w14:textId="77777777" w:rsidTr="008A6978">
        <w:tc>
          <w:tcPr>
            <w:tcW w:w="1020" w:type="dxa"/>
            <w:vAlign w:val="center"/>
          </w:tcPr>
          <w:p w14:paraId="0CE257B1"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7</w:t>
            </w:r>
          </w:p>
        </w:tc>
        <w:tc>
          <w:tcPr>
            <w:tcW w:w="1410" w:type="dxa"/>
            <w:vAlign w:val="center"/>
          </w:tcPr>
          <w:p w14:paraId="624ADD3E"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$48,282 </w:t>
            </w:r>
          </w:p>
        </w:tc>
      </w:tr>
      <w:tr w:rsidR="008A6978" w14:paraId="0C6CE69B" w14:textId="77777777" w:rsidTr="008A6978">
        <w:tc>
          <w:tcPr>
            <w:tcW w:w="1020" w:type="dxa"/>
            <w:vAlign w:val="center"/>
          </w:tcPr>
          <w:p w14:paraId="123A45C5"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8</w:t>
            </w:r>
          </w:p>
        </w:tc>
        <w:tc>
          <w:tcPr>
            <w:tcW w:w="1410" w:type="dxa"/>
            <w:vAlign w:val="center"/>
          </w:tcPr>
          <w:p w14:paraId="6093428C"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$53,716 </w:t>
            </w:r>
          </w:p>
        </w:tc>
      </w:tr>
      <w:tr w:rsidR="008A6978" w14:paraId="736A0DC7" w14:textId="77777777" w:rsidTr="008A6978">
        <w:tc>
          <w:tcPr>
            <w:tcW w:w="1020" w:type="dxa"/>
            <w:vAlign w:val="center"/>
          </w:tcPr>
          <w:p w14:paraId="48D77172"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For each additional family member, add</w:t>
            </w:r>
          </w:p>
        </w:tc>
        <w:tc>
          <w:tcPr>
            <w:tcW w:w="1410" w:type="dxa"/>
            <w:vAlign w:val="center"/>
          </w:tcPr>
          <w:p w14:paraId="0C27F18B" w14:textId="77777777" w:rsidR="008A6978" w:rsidRPr="008A6978" w:rsidRDefault="008A6978" w:rsidP="008A6978">
            <w:pPr>
              <w:jc w:val="center"/>
              <w:rPr>
                <w:rFonts w:ascii="Arial" w:hAnsi="Arial" w:cs="Arial"/>
                <w:color w:val="646262"/>
                <w:sz w:val="20"/>
                <w:szCs w:val="20"/>
              </w:rPr>
            </w:pPr>
            <w:r w:rsidRPr="008A6978">
              <w:rPr>
                <w:rFonts w:ascii="Arial" w:hAnsi="Arial" w:cs="Arial"/>
                <w:color w:val="646262"/>
                <w:sz w:val="20"/>
                <w:szCs w:val="20"/>
              </w:rPr>
              <w:t xml:space="preserve">$5,434 </w:t>
            </w:r>
          </w:p>
        </w:tc>
      </w:tr>
    </w:tbl>
    <w:p w14:paraId="469F728B" w14:textId="77777777" w:rsidR="00F010D5" w:rsidRDefault="00F010D5" w:rsidP="00F010D5"/>
    <w:p w14:paraId="6DFA2405" w14:textId="77777777" w:rsidR="00377F8E" w:rsidRDefault="00377F8E" w:rsidP="00377F8E">
      <w:pPr>
        <w:pStyle w:val="ListParagraph"/>
        <w:numPr>
          <w:ilvl w:val="0"/>
          <w:numId w:val="2"/>
        </w:numPr>
      </w:pPr>
      <w:r>
        <w:t xml:space="preserve">The reimbursement will be for only one meet per month except </w:t>
      </w:r>
      <w:r w:rsidR="00952910">
        <w:t xml:space="preserve">for the Gulf Championship series which will extend to two meets for that month to allow those swimmers who qualify for the higher level </w:t>
      </w:r>
      <w:r w:rsidR="00970335">
        <w:t xml:space="preserve">LSC </w:t>
      </w:r>
      <w:r w:rsidR="00952910">
        <w:t>meet to compete.</w:t>
      </w:r>
    </w:p>
    <w:p w14:paraId="3044D8BE" w14:textId="77777777" w:rsidR="00952910" w:rsidRDefault="00952910" w:rsidP="00952910"/>
    <w:p w14:paraId="5C3BAD7D" w14:textId="77777777" w:rsidR="00952910" w:rsidRDefault="00952910" w:rsidP="00952910">
      <w:pPr>
        <w:pStyle w:val="ListParagraph"/>
        <w:numPr>
          <w:ilvl w:val="0"/>
          <w:numId w:val="2"/>
        </w:numPr>
      </w:pPr>
      <w:r>
        <w:t>The reimbursement will limited to Gulf Swimming Sanctioned meets at the Gulf Approved entry fee amount for the level of the meet, Open or Championship.  Team Invitational or Open meets not on the current Gulf assigned meet schedule will be reimbursed only at the Gulf Approved entry fee amounts.</w:t>
      </w:r>
    </w:p>
    <w:p w14:paraId="787B84A6" w14:textId="77777777" w:rsidR="00952910" w:rsidRDefault="00952910" w:rsidP="00952910">
      <w:pPr>
        <w:pStyle w:val="ListParagraph"/>
      </w:pPr>
    </w:p>
    <w:p w14:paraId="359CD841" w14:textId="77777777" w:rsidR="00952910" w:rsidRDefault="00554711" w:rsidP="00952910">
      <w:pPr>
        <w:pStyle w:val="ListParagraph"/>
        <w:numPr>
          <w:ilvl w:val="0"/>
          <w:numId w:val="2"/>
        </w:numPr>
      </w:pPr>
      <w:r>
        <w:t>Any swimmer surcharge will not be more than charged for a Gulf sanctioned meet of similar type.</w:t>
      </w:r>
    </w:p>
    <w:p w14:paraId="5D210A81" w14:textId="77777777" w:rsidR="00B74627" w:rsidRDefault="00B74627" w:rsidP="00B74627">
      <w:pPr>
        <w:pStyle w:val="ListParagraph"/>
      </w:pPr>
    </w:p>
    <w:p w14:paraId="579CEF59" w14:textId="77777777" w:rsidR="00220D1D" w:rsidRPr="00B74627" w:rsidRDefault="00B74627" w:rsidP="00B74627">
      <w:pPr>
        <w:pStyle w:val="ListParagraph"/>
        <w:numPr>
          <w:ilvl w:val="0"/>
          <w:numId w:val="2"/>
        </w:numPr>
        <w:rPr>
          <w:highlight w:val="yellow"/>
        </w:rPr>
      </w:pPr>
      <w:r w:rsidRPr="00B74627">
        <w:rPr>
          <w:highlight w:val="yellow"/>
        </w:rPr>
        <w:t xml:space="preserve">Submission for reimbursements of entry fees must be made after the meet date.  </w:t>
      </w:r>
      <w:r w:rsidR="00220D1D" w:rsidRPr="00B74627">
        <w:rPr>
          <w:highlight w:val="yellow"/>
        </w:rPr>
        <w:t xml:space="preserve">Reimbursements </w:t>
      </w:r>
      <w:r w:rsidRPr="00B74627">
        <w:rPr>
          <w:highlight w:val="yellow"/>
        </w:rPr>
        <w:t xml:space="preserve">may only be requested </w:t>
      </w:r>
      <w:r w:rsidR="00220D1D" w:rsidRPr="00B74627">
        <w:rPr>
          <w:highlight w:val="yellow"/>
        </w:rPr>
        <w:t>for actual swims</w:t>
      </w:r>
      <w:r w:rsidRPr="00B74627">
        <w:rPr>
          <w:highlight w:val="yellow"/>
        </w:rPr>
        <w:t xml:space="preserve"> at a specific meet</w:t>
      </w:r>
      <w:r>
        <w:rPr>
          <w:highlight w:val="yellow"/>
        </w:rPr>
        <w:t>.</w:t>
      </w:r>
      <w:r w:rsidR="00220D1D" w:rsidRPr="00B74627">
        <w:rPr>
          <w:highlight w:val="yellow"/>
        </w:rPr>
        <w:t xml:space="preserve">  </w:t>
      </w:r>
      <w:r w:rsidRPr="00B74627">
        <w:rPr>
          <w:rFonts w:eastAsia="Times New Roman" w:cs="Times New Roman"/>
          <w:sz w:val="24"/>
          <w:szCs w:val="24"/>
          <w:highlight w:val="yellow"/>
        </w:rPr>
        <w:t>The first time a fraudulent request is submitted, it will be denied and a written explanation and warning will be issued informing the outreach member of the inaccurate statement being submitted to Gulf Swimming for reimbursement.  If a family submits a second fraudulent outreach reimbursement request they will be removed from the outreach program.</w:t>
      </w:r>
      <w:r w:rsidR="00220D1D" w:rsidRPr="00B74627">
        <w:rPr>
          <w:highlight w:val="yellow"/>
        </w:rPr>
        <w:t xml:space="preserve"> </w:t>
      </w:r>
    </w:p>
    <w:p w14:paraId="3A97062B" w14:textId="77777777" w:rsidR="00377F8E" w:rsidRPr="00B74627" w:rsidRDefault="00377F8E" w:rsidP="00952910">
      <w:pPr>
        <w:pStyle w:val="NoSpacing"/>
        <w:rPr>
          <w:rFonts w:ascii="Calibri" w:hAnsi="Calibri"/>
        </w:rPr>
      </w:pPr>
    </w:p>
    <w:sectPr w:rsidR="00377F8E" w:rsidRPr="00B74627" w:rsidSect="00952910">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02356"/>
    <w:multiLevelType w:val="hybridMultilevel"/>
    <w:tmpl w:val="AC3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70F5A"/>
    <w:multiLevelType w:val="hybridMultilevel"/>
    <w:tmpl w:val="81CA8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9B6754"/>
    <w:multiLevelType w:val="hybridMultilevel"/>
    <w:tmpl w:val="448AAE7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68"/>
    <w:rsid w:val="001363DE"/>
    <w:rsid w:val="00220D1D"/>
    <w:rsid w:val="002B7CDD"/>
    <w:rsid w:val="00377F8E"/>
    <w:rsid w:val="00554711"/>
    <w:rsid w:val="005A5C1C"/>
    <w:rsid w:val="00877E5C"/>
    <w:rsid w:val="008A6978"/>
    <w:rsid w:val="00921D68"/>
    <w:rsid w:val="00952910"/>
    <w:rsid w:val="00970335"/>
    <w:rsid w:val="00AE3BDF"/>
    <w:rsid w:val="00B74627"/>
    <w:rsid w:val="00DC598F"/>
    <w:rsid w:val="00E839B8"/>
    <w:rsid w:val="00F010D5"/>
    <w:rsid w:val="00FB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12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1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D68"/>
    <w:pPr>
      <w:spacing w:after="0" w:line="240" w:lineRule="auto"/>
    </w:pPr>
  </w:style>
  <w:style w:type="paragraph" w:styleId="ListParagraph">
    <w:name w:val="List Paragraph"/>
    <w:basedOn w:val="Normal"/>
    <w:uiPriority w:val="34"/>
    <w:qFormat/>
    <w:rsid w:val="00377F8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335589">
      <w:bodyDiv w:val="1"/>
      <w:marLeft w:val="0"/>
      <w:marRight w:val="0"/>
      <w:marTop w:val="0"/>
      <w:marBottom w:val="0"/>
      <w:divBdr>
        <w:top w:val="none" w:sz="0" w:space="0" w:color="auto"/>
        <w:left w:val="none" w:sz="0" w:space="0" w:color="auto"/>
        <w:bottom w:val="none" w:sz="0" w:space="0" w:color="auto"/>
        <w:right w:val="none" w:sz="0" w:space="0" w:color="auto"/>
      </w:divBdr>
    </w:div>
    <w:div w:id="932401961">
      <w:bodyDiv w:val="1"/>
      <w:marLeft w:val="0"/>
      <w:marRight w:val="0"/>
      <w:marTop w:val="0"/>
      <w:marBottom w:val="0"/>
      <w:divBdr>
        <w:top w:val="none" w:sz="0" w:space="0" w:color="auto"/>
        <w:left w:val="none" w:sz="0" w:space="0" w:color="auto"/>
        <w:bottom w:val="none" w:sz="0" w:space="0" w:color="auto"/>
        <w:right w:val="none" w:sz="0" w:space="0" w:color="auto"/>
      </w:divBdr>
    </w:div>
    <w:div w:id="964237920">
      <w:bodyDiv w:val="1"/>
      <w:marLeft w:val="0"/>
      <w:marRight w:val="0"/>
      <w:marTop w:val="0"/>
      <w:marBottom w:val="0"/>
      <w:divBdr>
        <w:top w:val="none" w:sz="0" w:space="0" w:color="auto"/>
        <w:left w:val="none" w:sz="0" w:space="0" w:color="auto"/>
        <w:bottom w:val="none" w:sz="0" w:space="0" w:color="auto"/>
        <w:right w:val="none" w:sz="0" w:space="0" w:color="auto"/>
      </w:divBdr>
      <w:divsChild>
        <w:div w:id="2023779971">
          <w:marLeft w:val="0"/>
          <w:marRight w:val="0"/>
          <w:marTop w:val="0"/>
          <w:marBottom w:val="0"/>
          <w:divBdr>
            <w:top w:val="none" w:sz="0" w:space="0" w:color="auto"/>
            <w:left w:val="none" w:sz="0" w:space="0" w:color="auto"/>
            <w:bottom w:val="none" w:sz="0" w:space="0" w:color="auto"/>
            <w:right w:val="none" w:sz="0" w:space="0" w:color="auto"/>
          </w:divBdr>
        </w:div>
        <w:div w:id="875652858">
          <w:marLeft w:val="0"/>
          <w:marRight w:val="0"/>
          <w:marTop w:val="0"/>
          <w:marBottom w:val="0"/>
          <w:divBdr>
            <w:top w:val="none" w:sz="0" w:space="0" w:color="auto"/>
            <w:left w:val="none" w:sz="0" w:space="0" w:color="auto"/>
            <w:bottom w:val="none" w:sz="0" w:space="0" w:color="auto"/>
            <w:right w:val="none" w:sz="0" w:space="0" w:color="auto"/>
          </w:divBdr>
        </w:div>
      </w:divsChild>
    </w:div>
    <w:div w:id="11303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Hasz</dc:creator>
  <cp:lastModifiedBy>Gia Pham</cp:lastModifiedBy>
  <cp:revision>2</cp:revision>
  <dcterms:created xsi:type="dcterms:W3CDTF">2017-08-31T22:06:00Z</dcterms:created>
  <dcterms:modified xsi:type="dcterms:W3CDTF">2017-08-31T22:06:00Z</dcterms:modified>
</cp:coreProperties>
</file>